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AA" w:rsidRDefault="003C6DAA" w:rsidP="003C6DAA">
      <w:pPr>
        <w:rPr>
          <w:rFonts w:eastAsia="標楷體" w:hint="eastAsia"/>
          <w:color w:val="FF0000"/>
        </w:rPr>
      </w:pPr>
    </w:p>
    <w:p w:rsidR="003C6DAA" w:rsidRDefault="003C6DAA" w:rsidP="003C6DAA">
      <w:pPr>
        <w:rPr>
          <w:rFonts w:eastAsia="標楷體" w:hint="eastAsia"/>
          <w:color w:val="FF0000"/>
        </w:rPr>
      </w:pPr>
      <w:proofErr w:type="gramStart"/>
      <w:r w:rsidRPr="00DF54DF">
        <w:rPr>
          <w:rFonts w:hint="eastAsia"/>
        </w:rPr>
        <w:t>鄭善印</w:t>
      </w:r>
      <w:proofErr w:type="gramEnd"/>
      <w:r w:rsidRPr="00DF54DF">
        <w:rPr>
          <w:rFonts w:hint="eastAsia"/>
        </w:rPr>
        <w:t>，</w:t>
      </w:r>
      <w:r w:rsidR="00F62860">
        <w:rPr>
          <w:rFonts w:hint="eastAsia"/>
        </w:rPr>
        <w:t>員警處理街頭鬥毆</w:t>
      </w:r>
      <w:r>
        <w:rPr>
          <w:rFonts w:hint="eastAsia"/>
        </w:rPr>
        <w:t>案例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析，警察情境實務執法案例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析，許福生主編，</w:t>
      </w:r>
      <w:r w:rsidR="00077380">
        <w:rPr>
          <w:rFonts w:hint="eastAsia"/>
        </w:rPr>
        <w:t>五南圖書公司，</w:t>
      </w:r>
      <w:r>
        <w:rPr>
          <w:rFonts w:hint="eastAsia"/>
        </w:rPr>
        <w:t>2021.2</w:t>
      </w:r>
      <w:r>
        <w:rPr>
          <w:rFonts w:hint="eastAsia"/>
        </w:rPr>
        <w:t>，</w:t>
      </w:r>
      <w:r>
        <w:rPr>
          <w:rFonts w:hint="eastAsia"/>
        </w:rPr>
        <w:t>p.</w:t>
      </w:r>
      <w:r w:rsidR="00F62860">
        <w:rPr>
          <w:rFonts w:hint="eastAsia"/>
        </w:rPr>
        <w:t>243-276</w:t>
      </w:r>
    </w:p>
    <w:p w:rsidR="003C6DAA" w:rsidRDefault="003C6DAA" w:rsidP="003C6DAA">
      <w:pPr>
        <w:rPr>
          <w:rFonts w:eastAsia="標楷體" w:hint="eastAsia"/>
          <w:color w:val="FF0000"/>
        </w:rPr>
      </w:pPr>
    </w:p>
    <w:p w:rsidR="003C6DAA" w:rsidRDefault="003C6DAA" w:rsidP="003C6DAA">
      <w:pPr>
        <w:rPr>
          <w:rFonts w:eastAsia="標楷體" w:hint="eastAsia"/>
          <w:color w:val="FF0000"/>
        </w:rPr>
      </w:pPr>
      <w:proofErr w:type="gramStart"/>
      <w:r w:rsidRPr="00DF54DF">
        <w:rPr>
          <w:rFonts w:hint="eastAsia"/>
        </w:rPr>
        <w:t>鄭善印</w:t>
      </w:r>
      <w:proofErr w:type="gramEnd"/>
      <w:r w:rsidRPr="00DF54DF">
        <w:rPr>
          <w:rFonts w:hint="eastAsia"/>
        </w:rPr>
        <w:t>，</w:t>
      </w:r>
      <w:r>
        <w:rPr>
          <w:rFonts w:hint="eastAsia"/>
        </w:rPr>
        <w:t>員警處理交通違規案例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析，警察情境實務執法案例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析，許福生主編，</w:t>
      </w:r>
      <w:r w:rsidR="00077380">
        <w:rPr>
          <w:rFonts w:hint="eastAsia"/>
        </w:rPr>
        <w:t>五南圖書公司，</w:t>
      </w:r>
      <w:r>
        <w:rPr>
          <w:rFonts w:hint="eastAsia"/>
        </w:rPr>
        <w:t>2021.2</w:t>
      </w:r>
      <w:r>
        <w:rPr>
          <w:rFonts w:hint="eastAsia"/>
        </w:rPr>
        <w:t>，</w:t>
      </w:r>
      <w:r>
        <w:rPr>
          <w:rFonts w:hint="eastAsia"/>
        </w:rPr>
        <w:t>p.157-207</w:t>
      </w:r>
    </w:p>
    <w:p w:rsidR="003C6DAA" w:rsidRDefault="003C6DAA" w:rsidP="003C6DAA">
      <w:pPr>
        <w:rPr>
          <w:rFonts w:eastAsia="標楷體" w:hint="eastAsia"/>
          <w:color w:val="FF0000"/>
        </w:rPr>
      </w:pPr>
    </w:p>
    <w:p w:rsidR="003C6DAA" w:rsidRPr="00DF54DF" w:rsidRDefault="003C6DAA" w:rsidP="003C6DAA">
      <w:proofErr w:type="gramStart"/>
      <w:r w:rsidRPr="00DF54DF">
        <w:rPr>
          <w:rFonts w:hint="eastAsia"/>
        </w:rPr>
        <w:t>鄭善印</w:t>
      </w:r>
      <w:proofErr w:type="gramEnd"/>
      <w:r w:rsidRPr="00DF54DF">
        <w:rPr>
          <w:rFonts w:hint="eastAsia"/>
        </w:rPr>
        <w:t>，</w:t>
      </w:r>
      <w:r w:rsidRPr="00DF54DF">
        <w:t>司法實務</w:t>
      </w:r>
      <w:proofErr w:type="gramStart"/>
      <w:r w:rsidRPr="00DF54DF">
        <w:t>對誤想防衛</w:t>
      </w:r>
      <w:proofErr w:type="gramEnd"/>
      <w:r w:rsidRPr="00DF54DF">
        <w:t>處理方式之研究，軍法專刊，</w:t>
      </w:r>
      <w:r w:rsidRPr="00DF54DF">
        <w:rPr>
          <w:rFonts w:hint="eastAsia"/>
        </w:rPr>
        <w:t>2020</w:t>
      </w:r>
      <w:r w:rsidRPr="00DF54DF">
        <w:rPr>
          <w:rFonts w:hint="eastAsia"/>
        </w:rPr>
        <w:t>年</w:t>
      </w:r>
      <w:r w:rsidRPr="00DF54DF">
        <w:rPr>
          <w:rFonts w:hint="eastAsia"/>
        </w:rPr>
        <w:t>4</w:t>
      </w:r>
      <w:r w:rsidRPr="00DF54DF">
        <w:rPr>
          <w:rFonts w:hint="eastAsia"/>
        </w:rPr>
        <w:t>月第</w:t>
      </w:r>
      <w:r w:rsidRPr="00DF54DF">
        <w:rPr>
          <w:rFonts w:hint="eastAsia"/>
        </w:rPr>
        <w:t>66</w:t>
      </w:r>
      <w:r w:rsidRPr="00DF54DF">
        <w:rPr>
          <w:rFonts w:hint="eastAsia"/>
        </w:rPr>
        <w:t>卷</w:t>
      </w:r>
      <w:r w:rsidRPr="00DF54DF">
        <w:rPr>
          <w:rFonts w:hint="eastAsia"/>
        </w:rPr>
        <w:t>2</w:t>
      </w:r>
      <w:r w:rsidRPr="00DF54DF">
        <w:rPr>
          <w:rFonts w:hint="eastAsia"/>
        </w:rPr>
        <w:t>期</w:t>
      </w:r>
      <w:r>
        <w:rPr>
          <w:rFonts w:hint="eastAsia"/>
        </w:rPr>
        <w:t>，</w:t>
      </w:r>
      <w:r>
        <w:rPr>
          <w:rFonts w:hint="eastAsia"/>
        </w:rPr>
        <w:t>p.144-166</w:t>
      </w:r>
    </w:p>
    <w:p w:rsidR="003C6DAA" w:rsidRDefault="003C6DAA" w:rsidP="003C6DAA"/>
    <w:p w:rsidR="003C6DAA" w:rsidRPr="006C0D3A" w:rsidRDefault="003C6DAA" w:rsidP="003C6DAA">
      <w:proofErr w:type="gramStart"/>
      <w:r>
        <w:rPr>
          <w:rFonts w:hint="eastAsia"/>
        </w:rPr>
        <w:t>鄭善印</w:t>
      </w:r>
      <w:proofErr w:type="gramEnd"/>
      <w:r>
        <w:rPr>
          <w:rFonts w:hint="eastAsia"/>
        </w:rPr>
        <w:t>，行政罰法與案例研究，警察法學與案例研究，許福生主編，五南圖書公司，</w:t>
      </w:r>
      <w:r>
        <w:rPr>
          <w:rFonts w:hint="eastAsia"/>
        </w:rPr>
        <w:t>2020.2</w:t>
      </w:r>
      <w:r>
        <w:rPr>
          <w:rFonts w:hint="eastAsia"/>
        </w:rPr>
        <w:t>，</w:t>
      </w:r>
      <w:r>
        <w:rPr>
          <w:rFonts w:hint="eastAsia"/>
        </w:rPr>
        <w:t>p.199-252</w:t>
      </w:r>
    </w:p>
    <w:p w:rsidR="003C6DAA" w:rsidRDefault="003C6DAA" w:rsidP="003C6DAA"/>
    <w:p w:rsidR="003C6DAA" w:rsidRPr="00DF54DF" w:rsidRDefault="003C6DAA" w:rsidP="003C6DAA">
      <w:proofErr w:type="gramStart"/>
      <w:r>
        <w:rPr>
          <w:rFonts w:hint="eastAsia"/>
        </w:rPr>
        <w:t>鄭善印</w:t>
      </w:r>
      <w:proofErr w:type="gramEnd"/>
      <w:r>
        <w:rPr>
          <w:rFonts w:hint="eastAsia"/>
        </w:rPr>
        <w:t>，毒品危害防制條例，刑事特別法與案例研究，許福生主編，五南圖書公司，</w:t>
      </w:r>
      <w:r>
        <w:rPr>
          <w:rFonts w:hint="eastAsia"/>
        </w:rPr>
        <w:t>2019.8</w:t>
      </w:r>
      <w:r>
        <w:rPr>
          <w:rFonts w:hint="eastAsia"/>
        </w:rPr>
        <w:t>，</w:t>
      </w:r>
      <w:r>
        <w:rPr>
          <w:rFonts w:hint="eastAsia"/>
        </w:rPr>
        <w:t>p.1-52</w:t>
      </w:r>
    </w:p>
    <w:p w:rsidR="003C6DAA" w:rsidRPr="00DF54DF" w:rsidRDefault="003C6DAA" w:rsidP="003C6DAA">
      <w:r w:rsidRPr="00DF54DF">
        <w:rPr>
          <w:rFonts w:hint="eastAsia"/>
        </w:rPr>
        <w:br/>
      </w:r>
      <w:proofErr w:type="gramStart"/>
      <w:r w:rsidRPr="00DF54DF">
        <w:rPr>
          <w:rFonts w:hint="eastAsia"/>
        </w:rPr>
        <w:t>鄭善印</w:t>
      </w:r>
      <w:proofErr w:type="gramEnd"/>
      <w:r w:rsidRPr="00DF54DF">
        <w:rPr>
          <w:rFonts w:hint="eastAsia"/>
        </w:rPr>
        <w:t>，警察勤務條例之研究</w:t>
      </w:r>
      <w:r>
        <w:rPr>
          <w:rFonts w:hint="eastAsia"/>
        </w:rPr>
        <w:t>，</w:t>
      </w:r>
      <w:proofErr w:type="gramStart"/>
      <w:r>
        <w:rPr>
          <w:rFonts w:hint="eastAsia"/>
        </w:rPr>
        <w:t>警學叢刊</w:t>
      </w:r>
      <w:proofErr w:type="gramEnd"/>
      <w:r>
        <w:rPr>
          <w:rFonts w:hint="eastAsia"/>
        </w:rPr>
        <w:t>，第</w:t>
      </w:r>
      <w:r>
        <w:rPr>
          <w:rFonts w:hint="eastAsia"/>
        </w:rPr>
        <w:t>49</w:t>
      </w:r>
      <w:r>
        <w:rPr>
          <w:rFonts w:hint="eastAsia"/>
        </w:rPr>
        <w:t>卷第</w:t>
      </w:r>
      <w:r>
        <w:rPr>
          <w:rFonts w:hint="eastAsia"/>
        </w:rPr>
        <w:t>4</w:t>
      </w:r>
      <w:r>
        <w:rPr>
          <w:rFonts w:hint="eastAsia"/>
        </w:rPr>
        <w:t>期，</w:t>
      </w:r>
      <w:r>
        <w:rPr>
          <w:rFonts w:hint="eastAsia"/>
        </w:rPr>
        <w:t>2019.1</w:t>
      </w:r>
      <w:r>
        <w:rPr>
          <w:rFonts w:hint="eastAsia"/>
        </w:rPr>
        <w:t>，</w:t>
      </w:r>
      <w:r>
        <w:rPr>
          <w:rFonts w:hint="eastAsia"/>
        </w:rPr>
        <w:t>p.1-12</w:t>
      </w:r>
    </w:p>
    <w:p w:rsidR="003C6DAA" w:rsidRPr="00DF54DF" w:rsidRDefault="003C6DAA" w:rsidP="003C6DAA">
      <w:r w:rsidRPr="00DF54DF">
        <w:rPr>
          <w:rFonts w:hint="eastAsia"/>
        </w:rPr>
        <w:br/>
      </w:r>
      <w:proofErr w:type="gramStart"/>
      <w:r w:rsidRPr="00DF54DF">
        <w:rPr>
          <w:rFonts w:hint="eastAsia"/>
        </w:rPr>
        <w:t>鄭善印</w:t>
      </w:r>
      <w:proofErr w:type="gramEnd"/>
      <w:r w:rsidRPr="00DF54DF">
        <w:rPr>
          <w:rFonts w:hint="eastAsia"/>
        </w:rPr>
        <w:t>，兩岸警察法制之比較</w:t>
      </w:r>
      <w:r>
        <w:rPr>
          <w:rFonts w:hint="eastAsia"/>
        </w:rPr>
        <w:t>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刑事法評論，第</w:t>
      </w:r>
      <w:r>
        <w:rPr>
          <w:rFonts w:hint="eastAsia"/>
        </w:rPr>
        <w:t>10</w:t>
      </w:r>
      <w:r>
        <w:rPr>
          <w:rFonts w:hint="eastAsia"/>
        </w:rPr>
        <w:t>期，</w:t>
      </w:r>
      <w:r>
        <w:rPr>
          <w:rFonts w:hint="eastAsia"/>
        </w:rPr>
        <w:t>2018.9</w:t>
      </w:r>
      <w:r>
        <w:rPr>
          <w:rFonts w:hint="eastAsia"/>
        </w:rPr>
        <w:t>，</w:t>
      </w:r>
      <w:r>
        <w:rPr>
          <w:rFonts w:hint="eastAsia"/>
        </w:rPr>
        <w:t>p.45-66</w:t>
      </w:r>
      <w:r w:rsidRPr="00DF54DF">
        <w:t xml:space="preserve"> </w:t>
      </w:r>
    </w:p>
    <w:p w:rsidR="003C6DAA" w:rsidRPr="003C6DAA" w:rsidRDefault="003C6DAA" w:rsidP="003C6DAA">
      <w:pPr>
        <w:rPr>
          <w:rFonts w:eastAsia="標楷體" w:hint="eastAsia"/>
          <w:color w:val="FF0000"/>
        </w:rPr>
      </w:pPr>
      <w:bookmarkStart w:id="0" w:name="_GoBack"/>
      <w:bookmarkEnd w:id="0"/>
    </w:p>
    <w:p w:rsidR="003C6DAA" w:rsidRDefault="003C6DAA" w:rsidP="003C6DAA">
      <w:pPr>
        <w:rPr>
          <w:rFonts w:hint="eastAsia"/>
        </w:rPr>
      </w:pPr>
      <w:proofErr w:type="gramStart"/>
      <w:r w:rsidRPr="003C6DAA">
        <w:rPr>
          <w:rFonts w:hint="eastAsia"/>
        </w:rPr>
        <w:t>鄭善印</w:t>
      </w:r>
      <w:proofErr w:type="gramEnd"/>
      <w:r w:rsidRPr="003C6DAA">
        <w:rPr>
          <w:rFonts w:hint="eastAsia"/>
        </w:rPr>
        <w:t>，輕微犯罪之處理與轉向，向陽基金會主辦二十年來的刑事政策回顧與展望學術研討會，</w:t>
      </w:r>
      <w:r w:rsidRPr="003C6DAA">
        <w:t>2017</w:t>
      </w:r>
    </w:p>
    <w:p w:rsidR="003C6DAA" w:rsidRPr="003C6DAA" w:rsidRDefault="003C6DAA" w:rsidP="003C6DAA"/>
    <w:sectPr w:rsidR="003C6DAA" w:rsidRPr="003C6DAA" w:rsidSect="00891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C6DAA"/>
    <w:rsid w:val="00077380"/>
    <w:rsid w:val="003C6DAA"/>
    <w:rsid w:val="00891A6A"/>
    <w:rsid w:val="00F6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A"/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2021-03-05T16:05:00Z</dcterms:created>
  <dcterms:modified xsi:type="dcterms:W3CDTF">2021-03-05T16:19:00Z</dcterms:modified>
</cp:coreProperties>
</file>